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16 vom 10. Oktober 2013</w:t>
      </w:r>
    </w:p>
    <w:p>
      <w:r>
        <w:t>VS Kantonsgericht, 2013-10-10, FR</w:t>
      </w:r>
    </w:p>
    <w:p>
      <w:r>
        <w:rPr>
          <w:b/>
        </w:rPr>
        <w:t xml:space="preserve">Quelle: </w:t>
      </w:r>
      <w:r>
        <w:t>https://mcp.opencaselaw.ch/entscheid/vs_gerichte_P1 12 16</w:t>
      </w:r>
    </w:p>
    <w:p>
      <w:r>
        <w:t>FR: VS_GERICHTE P1 12 16 du 10 octobre 2013</w:t>
      </w:r>
    </w:p>
    <w:p>
      <w:r>
        <w:t>IT: VS_GERICHTE P1 12 16 del 10 ottobre 2013</w:t>
      </w:r>
    </w:p>
    <w:p>
      <w:pPr>
        <w:pStyle w:val="Heading2"/>
      </w:pPr>
      <w:r>
        <w:t>Regeste</w:t>
      </w:r>
    </w:p>
    <w:p>
      <w:r>
        <w:t>Par arrêt du 10 octobre 2013 (6B_670/2013), le Tribunal fédéral a rejeté le recours en matière pénale interjeté par X_________ contre ce jugement. P1 12 16 JUGEMENT DU 12 MAI 2013 Tribunal cantonal La Cour pénale I Jérôme Emonet, juge ; Yannick Deslarzes, greffière en la cause pénale Ministère public, appelé, représenté par le procureur contre X__________, prévenu appelant, représenté par Maître A_________ (art. 90 ch. 2 LCR et 27 al. 1 LCR : violation grave des règles de la circulation routière) recours contre le jugement du Tribunal du district de B__________ du 27.02.2012</w:t>
      </w:r>
    </w:p>
    <w:p>
      <w:pPr>
        <w:pStyle w:val="Heading2"/>
      </w:pPr>
      <w:r>
        <w:t>Erwägungen</w:t>
      </w:r>
    </w:p>
    <w:p>
      <w:r>
        <w:rPr>
          <w:b/>
        </w:rPr>
        <w:t>E. 3.1</w:t>
      </w:r>
    </w:p>
    <w:p>
      <w:r>
        <w:t>Aux termes de l'art. 90 ch. 1 LCR, celui qui aura violé les règles de la circulation fixées par la LCR ou les prescriptions d'exécution émanant du Conseil fédéral sera puni de l’amende. L'alinéa deux de cette disposition définit un cas qualifié de violation des règles de la circulation routière puni d'une peine privative de liberté de 3 ans au plus ou d'une peine pécuniaire.</w:t>
      </w:r>
    </w:p>
    <w:p>
      <w:r>
        <w:rPr>
          <w:b/>
        </w:rPr>
        <w:t>E. 3.1.1</w:t>
      </w:r>
    </w:p>
    <w:p>
      <w:r>
        <w:t>L'art. 90 LCR étant une norme pénale cadre ("Blankettstrafnorm", cf. ATF 126 I 19 consid. 2d/aa p. 23 s.), elle doit être complétée par l'indication de la ou des règles concrètes de circulation qui ont été violées (ATF 100 IV 71 consid. 1 p. 73; arrêt du Tribunal fédéral 6S.392/2003 du 24 novembre 2003 consid. 2.1; Jeanneret, Le principe de la légalité: une notion malmenée en droit de la circulation routière?, in SJZ 99/2003, p. 294). Aux termes de l’art. 27 al. 1 LCR, chacun se conformera aux signaux et aux marques ainsi qu'aux ordres de la police (1re phrase). La vitesse maximale générale des véhicules peut atteindre, lorsque les conditions de la route, de la circulation et de visibilité sont favorables, 50 km/h dans les localités (art. 4a al. 1 let. a OCR).</w:t>
      </w:r>
    </w:p>
    <w:p>
      <w:r>
        <w:rPr>
          <w:b/>
        </w:rPr>
        <w:t>E. 3.1.2</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Celui qui dépasse dans une notable mesure la vitesse autorisée agit en principe intentionnellement, ou du moins commet une négligence grossière (ATF 126 II 202 consid. 1b; 122 IV 173 consid. 2e; 121 IV 230 consid. 2c ; plus récemment, cf. arrêt du Tribunal fédéral 6S.266/2002 du 13 août 2002 consid. 3.2). La qualification de cas grave au sens de l'art. 90 ch. 2 LCR correspond à celle de l'ancien art. 16 al. 3 let. a LCR (teneur en vigueur jusqu'au 31 décembre 2004), respectivement de l'art. 16c al. 1 let. a LCR (ATF 132 II 234 consid. 3). Selon la jurisprudence, le cas est objectivement grave, c'est-à-dire sans égard aux circonstances concrètes, lorsque la vitesse autorisée est dépassée de 25 km/h ou plus</w:t>
      </w:r>
    </w:p>
    <w:p>
      <w:r>
        <w:t>- 11 - à l'intérieur des localités, de 30 km/h ou plus hors des localités et sur les semi- autoroutes dont les chaussées, dans les deux directions, ne sont pas séparées et de 35 km/h ou plus sur les autoroutes (ATF 124 II 259 consid. 2b ; 123 II 106 consid. 2c). Le Tribunal fédéral a confirmé cette pratique après l'avoir réexaminée à la lumière des règles révisées de la LCR (ATF 132 II 234) et des critiques formulées par une partie de la doctrine (arrêt du Tribunal fédéral 1C_83/2008 du 16 octobre 2008 consid. 2). Le Tribunal fédéral a notamment souligné le caractère incontournable d'un certain schématisme en matière d'excès de vitesse, qui constituent des infractions de masse (sur l’ensemble de la question, cf. arrêt du Tribunal fédéral 6B_1028/2008 du 16 avril 2009 consid. 2).</w:t>
      </w:r>
    </w:p>
    <w:p>
      <w:r>
        <w:rPr>
          <w:b/>
        </w:rPr>
        <w:t>E. 3.1.3</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RO 2008 2447), ainsi que, en accord avec l'Office fédéral de métrologie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(art. 9) (arrêt du Tribunal fédéral 6B_763/2011 du 22 mars 2012 consid. 1.3, in JdT 2012 I p. 305 s.). L’art. 8 al. 1 let. a ch. 1 OOCCR-OFROU dispose en particulier qu’en cas de mesures effectuées par un radar, la marge de déduction doit être de 5 km/h pour une valeur mesurée inférieure ou égale à 100 km/h. Quant à l’art. 9 al. 1, 1re phrase, OOCCR-OFROU, il prévoit que les valeurs mesurées en liaison avec des dépassements de vitesse doivent être documentées en images en liaison avec la situation du trafic.</w:t>
      </w:r>
    </w:p>
    <w:p>
      <w:r>
        <w:rPr>
          <w:b/>
        </w:rPr>
        <w:t>E. 3.1.4</w:t>
      </w:r>
    </w:p>
    <w:p>
      <w:r>
        <w:t>Selon la jurisprudence, les Instructions techniques, comme celles concernant les contrôles de vitesse émises le 22 mai 2008 par l'OFROU, constituent de simples recommandations qui n'ont pas force de loi et ne lient pas le juge (ATF 123 II 106 consid. 2e;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6B_763/2011 précité consid. 1.4 ; 6B_863/2010 du 17 janvier 2011 consid. 2.2, in SJ 2011 I p. 265; 6B_568/2012 du 16 novembre 2012 consid.1.3, in JdT 2012 I p. 378 ; 1C_345/2007 du 24 janvier 2008 consid. 4.1, in JdT 2008 I p. 449). Les</w:t>
      </w:r>
    </w:p>
    <w:p>
      <w:r>
        <w:t>- 12 - Instructions techniques réservent du reste la libre appréciation des preuves par les tribunaux (arrêt 6B_763/2011 précité).</w:t>
      </w:r>
    </w:p>
    <w:p>
      <w:r>
        <w:rPr>
          <w:b/>
        </w:rPr>
        <w:t>E. 3.2</w:t>
      </w:r>
    </w:p>
    <w:p>
      <w:r>
        <w:t>En l’espèce, il est constant que le prévenu circulait le 23 mars 2010, à 20h32, au volant de son véhicule automobile de marque Audi portant plaques de contrôles xxx à la rue C_________ à B_________, soit à l’intérieur de la localité, où la vitesse maximale autorisée est de 50 km/h. Pour les motifs exposés au consid. 2.3, auquel il est renvoyé, il a par ailleurs été établi que la vitesse à laquelle circulait le prévenu a été mesurée au moyen d’un radar de type Traffipax-speedophot installé dans un véhicule de police, en bon état de fonctionnement et correctement positionné parallèlement à la chaussée en l’absence de recours à une chevillière. Le gendarme, satisfaisant à son obligation de documentation, a par ailleurs rédigé le procès-verbal des mesures de vitesse et a joint au procès-verbal de contravention le cliché (no 73) du quatre roues conduit par le prévenu. Les exigences des art. 6 ss de l’OOCCR-OFROU, qui ne constituent au demeurant que des instructions techniques qui ne lient pas l’autorité de jugement, ont été observées. Ainsi, même après déduction de la marge de sécurité de</w:t>
      </w:r>
    </w:p>
    <w:p>
      <w:r>
        <w:rPr>
          <w:b/>
        </w:rPr>
        <w:t>E. 5</w:t>
      </w:r>
    </w:p>
    <w:p>
      <w:r>
        <w:t>km/h prévue par l’art. 8 al. 1 let. a ch. 1 OOCCR-OFROU, le prévenu a dépassé de 29 km/h la vitesse maximale autorisée, si bien que son comportement tombe objectivement sous le coup de l’art. 90 ch. 2 LCR en relation avec les art. 27 al. 1 LCTR et 4a al. 1 OCR. Subjectivement, l’intéressé a, devant le juge d’instruction, soutenu avoir été étonné de recevoir le courrier indiquant l’ampleur de l’excès de vitesse, tout en soulignant qu’il lui avait été difficile d’estimer celle-ci, dans la mesure où sa voiture était un modèle récent, « relativement bien insonorisée ». Ce faisant, le prévenu, qui était conscient de se trouver à l’intérieur d’une localité, n’a, dans l’hypothèse la plus favorable pour lui, pas prêté suffisamment d’attention à la vitesse à laquelle il circulait et s’est rendu coupable d’une négligence grossière. Partant, il s’est, objectivement et subjectivement, rendu coupable de violation grave des règles de la circulation routière, au sens des dispositions précitées. 4.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4.1.1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w:t>
      </w:r>
    </w:p>
    <w:p>
      <w:r>
        <w:t>- 13 - Pour choisir la nature de la peine, le juge doit prendre en considération l'opportunité de la sanction déterminée, ses effets sur l'auteur et son milieu social, ainsi que son efficacité préventive (ATF 134 IV 97 consid. 4; arrêts du Tribunal fédéral 6B_102/2012 du 22 juin 2012 consid. 2.1 ; 6B_128/2011 du 14 juin 2011 consid. 3.1). 4.1.2 Aux termes de l’art. 34 al. 1 CP, sauf disposition contraire de la loi, la peine pécuniaire ne peut excéder 360 jours-amende ; le juge fixe leur nombre en fonction de la culpabilité de l'auteur. Le jour-amende est de 3000 fr. au plus (art. 34 al. 2, 1re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2e phrase, CP). Les principes déduits de cette disposition ont été exposés dans l'ATF 134 IV 60 consid. 6 p. 68 ss et dans l'arrêt 6B_845/2009 du 11 janvier 2010 consid. 1.1, auxquels on peut se référer (arrêt du Tribunal fédéral 6B_568/2012 du 16 novembre 2012 consid. 2.1).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(art. 34 al. 2, 2e phrase, CP) (ATF 134 IV 60 consid. 6.1 ; arrêt 6B_845/2009 précité consid. 1.1.1).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(Dolge, in Basler Kommentar, Strafrecht I, 2. Aufl. 2007, n. 70 ad art. 34 CP). Le tribunal peut, dans une large mesure, se référer aux principes du droit de la famille en ce qui concerne le calcul de ces montants (ATF 134 IV 60 consid. 6.4 ; arrêt du Tribunal fédéral 6B_152/2007 du 13 mai 2008 consid. 8.4.4 et la référence au Message du Conseil fédéral in FF 1998, p. 1825). Lorsque le conjoint travaille également, il convient de déterminer non pas la charge d’entretien que chacun représente pour l’autre mais la proportion de charges communes que chacun des époux assume par son salaire (Jeanneret, Les peines selon le nouveau Code pénal, in Pfister-Liechti [éd.], Partie générale du Code pénale, Berne 2007, p. 41). Pour déterminer l’ampleur de l’obligation d’entretien en faveur des enfants –</w:t>
      </w:r>
    </w:p>
    <w:p>
      <w:r>
        <w:t>- 14 - comprenant les frais de formation professionnelle (Dupuis et al. [éd.], Code pénal, Petit commentaire, Bâle 2012, n. 22 ad art. 34 CP) – et du conjoint tenant le ménage, la Conférence des autorités de poursuite pénale de Suisse (CAPS) de même que plusieurs auteurs de doctrine préconisent de s’en tenir aux règles générales suivantes : 15 % pour le conjoint tenant le ménage (non salarié), 15 % pour le premier enfant, 12,5 % pour le deuxième, puis 10 % pour chaque enfant complémentaire (Trechsel/Keller, in Trechsel et al. [Hrsg.], Schweizerisches Strafgesetzbuch, Praxiskommentar, 2. Aufl. 2013, n. 17 ad art. 34 CP ; Dolge, op. cit., n. 73 ad art. 34 CP; plus réservé concernant les forfaits, Cimichella, Die Geldstrafe im Schweizer Strafrecht : unter Berücksichtigung der Problematik zum bedingten Vollzug, Diss. Bern 2006, p. 186 s.). En droit de la famille, dans la pratique de certains cantons, le montant de la contribution d’entretien en faveur des enfants correspond à un pourcentage du revenu net du parent débirentier : 15 à 17% pour un enfant, 25 à 27% pour deux enfants et 33 à 35% pour trois enfants (Wullschleger, in FamKommentar Scheidung, Band I, 2. Aufl. 2011, n. 65 ad art. 285 CC ; cf. ég. Rumo-Jungo/Hotz, Der Vorentwurf zur Revision des Kindesunterhalts: ein erster Schritt, in FamPra.ch 2013 1 ss, p. 12), tandis qu’en Valais, conformément aux dernières jurisprudences en la matière (RVJ 2012 149 consid. 2c/aa et bb, faisant suite à l’arrêt du Tribunal fédéral 5A_690/2010 du 21 avril 2010, in FamPra 2011, no 51, p. 757), le coût pour chaque enfant d’une fratrie en comportant deux âgés de plus de 13 ans se monte, après les adaptations opérées par rapport aux tabelles zurichoises (- 20% pour le poste « logement » [soit 228 fr. au lieu de 285 fr.], - 15% pour le poste « autres frais » [soit 638 fr. au lieu de 750 fr.] et absence de prise en compte du poste « soin et éducation » [195 fr.]), à 1300 fr. (325 fr. [subsistance] + 110 fr. [habillement] + 228 fr. [logement] + 638 fr. [autres frais]), montant arrondi, dont il y a lieu de déduire encore les éventuelles allocations familiales ou de formation perçues (arrêt du Tribunal fédéral 5A_352/2010 du 29 octobre 2010 consid. 6.2.1, in FamPra.ch 2011, no 13, p. 230 et les références). 4.2 Né le xxx 1960, le prévenu est marié à H_________. De leur union sont issus deux enfants : une fille, née le xxx 1990, actuellement en formation à l’Université de I_________, et un garçon, né le xxx 1994, en troisième année d’apprentissage. Le prévenu, qui exerce la profession d’entrepreneur, ainsi que son épouse pourvoient à leur entretien. En complétant le formulaire « déclaration sur l’état civil et la situation financière » le 17 avril 2010, le prévenu avait alors indiqué un revenu mensuel net de 15'000 francs. Ses décisions de taxation fiscales versées au dossier laissaient apparaître en moyenne les montants suivants : en 2006, 150'638 fr. de revenus (soit 12'553 fr. par mois) et (montant arrondi) 1'789'000 fr. de fortune nette, en 2007, 225'141 fr. de revenus (dont 47'500 fr. de gains de loterie, soit – sans tenir compte de cette source extraordinaire – 14'803 fr. par mois) et (montant arrondi) 1'691'000 fr. de fortune nette, et, en 2008, 212'314 fr. de revenus (soit 17'692 fr. par mois) et (montant arrondi) 2'650'500 fr. de fortune nette (pour l’essentiel sous la forme de biens immobiliers). Donnant suite à l’injonction du juge de district du 17 octobre 2011, le prévenu a, par l’intermédiaire de sa fiduciaire, adressé le 2 novembre 2011 des renseignements financiers actualisés (doss., p. 118 ss). Depuis 2011, il est salarié de ses propres sociétés, à savoir J_________ et K_________– constituées à partir de l’ancienne entreprise qu’il exploitait sous la forme d’une raison individuelle (cf. extraits</w:t>
      </w:r>
    </w:p>
    <w:p>
      <w:r>
        <w:t>- 15 - tirés de www.zefix.ch ; doss., p. 123 ss) – dont il est administrateur unique. Il s’alloue à ce titre un salaire mensuel net de 8400 fr., perçu treize fois l’an (doss., p. 118 et 127), auquel s’ajoutent par année, toujours d’après sa fiduciaire, environ 800 fr., de revenus agricoles et 144 fr. de revenus de titres. A l’occasion de son interrogatoire du 24 février 2012 en première instance, l’intéressé a ajouté ignorer s’il percevrait, en tant qu’actionnaire, des dividendes de ses sociétés, les comptes n’ayant pas encore été bouclés à cette époque. Il a souligné par ailleurs que son épouse travaillait à temps partiel dans ses sociétés, tirant de cette activité une rémunération mensuelle nette de 1000 fr., versée treize fois l’an, ce qui représente en définitive une rétribution de 1083 fr. par mois (1000 fr. x 13 / 12). Ainsi, sur la base de ces renseignements, le revenu mensuel net du prévenu peut être arrêté à 9178 fr. ([8400 fr. x 13 mois / 12] + [{800 fr. + 144 fr. } / 12]). Toutefois, à l’instar du juge de première instance, qui s’est également basé sur les revenus que déclarait au fisc le prévenu lorsqu’il était encore indépendant et qui se montaient au minimum à 12'000 fr. par mois, l’autorité d’appel retient que l’intéressé est en mesure de percevoir une rémunération mensuelle d’au minimum 10'000 fr. nets par mois : en effet, puisque le prévenu est administrateur unique de ses sociétés, et fixe ainsi selon toute probabilité lui-même sa rémunération, on ne discerne pas pour quel motif l’intéressé aurait conséquemment limité celle-ci par rapport aux années précédentes. En sa qualité de salarié, il a par ailleurs indiqué avoir reçu rétroactivement des allocations familiales ou de formation depuis le 1er janvier 2011 (doss., p. 256). Les montants des primes d’assurance-maladie s’élèvent à 180 fr. 35 pour lui-même (doss., p. 136), 345 fr. 15 pour son épouse (doss., p. 170), 236 fr. pour sa fille (284 fr.60 – 48 fr.60 de contribution cantonale ; doss., p. 144 ss) et 121 fr.65 pour son fils (727 fr. / 6 mois ; doss., p. 171 s.). Enfin, sa charge fiscale, fondée sur son revenu comme salarié, peut être estimée comme l’a mentionné la fiduciaire à 20'000 fr. par an, soit (montant arrondi) 1670 fr. par mois. Le prévenu ne figure pas au casier judiciaire suisse. La faute de l’intéressé ne saurait être minimisée : comme déjà exposé (cf. supra, consid. 2.3), le dépassement de la vitesse autorisée tombe clairement sous la définition du cas grave. Dans la mesure par ailleurs où le trafic était de moyenne densité, et que l’intéressé circulait à l’intérieur de la localité, la mise en danger provoquée par son comportement était accrue. La remise en cause, après réception de l’ordonnance pénale, de la fiabilité de la mesure de vitesse, relève comme on l’a vu (cf. supra, consid. 2.3) d’une stratégie de défense, qui dénote que le prévenu n’a pas pris conscience des faits qui lui sont reprochés. Pour le surplus, le prévenu ne bénéficie d’aucune circonstance aggravante ou atténuante. Cela étant, une peine pécuniaire de 15 jours-amende paraît nécessaire, mais suffisante, pour sanctionner le comportement illicite adopté par l’intéressé le 23 mars 2010 au volant de son véhicule automobile, sous réserve de l’amende additionnelle dont il sera fait état ci-après (cf. infra, consid. 5.1). A ce stade, il convient encore de fixer le montant du jour-amende. Les charges mensuelles à prendre en compte sont les suivantes : 1700 fr. (base du minimum vital pour un couple, BlSchK 73/2009, p. 197), 2 x 875 fr. (1300 fr. [estimation du coût d’entretien pour chaque enfant d’une fratrie en comportant deux, selon les tabelles adaptées pour le Valais, comprenant le</w:t>
      </w:r>
    </w:p>
    <w:p>
      <w:r>
        <w:t>- 16 - coût pour les primes d’assurance-maladie, qu’il n’y a pas lieu de rajouter] – 425 fr. d’allocations de formation [www.avs.vs.ch]), 180 fr. 35 (prime d’assurance-maladie du prévenu), 345 fr.15 (prime d’assurance-maladie pour l’épouse), 1670 fr. (charge fiscale estimée), soit 5645 fr.50. Le prévenu réalisant 90% des revenus du couple (10'000 fr. par rapport à 11'083 fr. [10'000 fr. + 1083 fr.]), il est censé supporter les charges familiales dans cette même proportion, soit à raison de 5080 fr. 95 (5645 fr.50 x 90 %). Après déduction de sa part de charges, il reste ainsi au prévenu un disponible journalier net de 164 fr. ([10'000 fr. – 5080 fr.95] / 30), soit un montant légèrement plus élevé que celui retenu par le juge de district, lequel avait imputé, contrairement à la jurisprudence fédérale (ATF 134 IV 60 consid. 6.4), des frais de logement. Quoi qu’il en soit, le principe de l’interdiction de la reformatio in pejus commande de confirmer le montant du jour-amende fixé en première instance.</w:t>
      </w:r>
    </w:p>
    <w:p>
      <w:r>
        <w:rPr>
          <w:b/>
        </w:rPr>
        <w:t>E. 5.1</w:t>
      </w:r>
    </w:p>
    <w:p>
      <w:r>
        <w:t>Aux termes de l’art. 42 CP, le juge suspend en règle générale l'exécution d'une peine pécuniaire, d'un travail d'intérêt général ou d'une peine privative de liberté de</w:t>
      </w:r>
    </w:p>
    <w:p>
      <w:r>
        <w:rPr>
          <w:b/>
        </w:rPr>
        <w:t>E. 5.1.1</w:t>
      </w:r>
    </w:p>
    <w:p>
      <w:r>
        <w:t>Le premier jugement a exposé correctement (cf. consid. 8.1) les conditions, objectives et subjectives, concernant l’octroi du sursis, de sorte qu’il peut y être renvoyé, sous réserve des précisions suivantes.</w:t>
      </w:r>
    </w:p>
    <w:p>
      <w:r>
        <w:rPr>
          <w:b/>
        </w:rPr>
        <w:t>E. 5.1.2</w:t>
      </w:r>
    </w:p>
    <w:p>
      <w:r>
        <w:t>Selon l'art. 42 al. 4 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 arrêt du Tribunal fédéral 6B_61/2010 du 27 juillet 2010 consid. 5.1).</w:t>
      </w:r>
    </w:p>
    <w:p>
      <w:r>
        <w:t>- 17 - En outre, le juge prononce dans son jugement, pour le cas où de manière fautive le condamné ne paie pas l'amende, une peine privative de liberté de substitution d'un jour au moins et de 3 mois au plus (art. 106 al. 2 CP). Lorsqu'une telle peine doit être fixée pour une amende additionnelle au sens de l'art. 42 al. 4 CP, le juge a déjà fixé le montant du jour-amende pour la peine privative de liberté assortie du sursis, partant la capacité économique de l'auteur. Il apparaît donc adéquat d'utiliser le montant du jour- amende comme taux de conversion et de diviser l'amende additionnelle par ce montant (arrêt du Tribunal fédéral 6B_152/2007 du 13 mai 2008 consid. 7.1.3 ; Heimgartner, in Basler Kommentar, Strafrecht I, 2. Aufl. 2007, n. 16 ad art. 106 CP).</w:t>
      </w:r>
    </w:p>
    <w:p>
      <w:r>
        <w:rPr>
          <w:b/>
        </w:rPr>
        <w:t>E. 5.2</w:t>
      </w:r>
    </w:p>
    <w:p>
      <w:r>
        <w:t>En l’occurrence, les conditions tant objectives que subjectives quant à l’octroi du sursis sont réalisées, de sorte que la peine pécuniaire de 15 jours-amende doit être entièrement suspendue. Le prévenu étant un délinquant primaire, la durée d’épreuve est fixée à 2 ans (art. 44 al. 1 CP). Compte tenu de l’absence de prise de conscience des faits qui lui sont reprochés, le prononcé d’une amende additionnelle de 500 fr. – montant qui, respecte la limite posée par la jurisprudence fédérale de 20% par rapport à la peine pécuniaire infligée à titre principal – est adéquat. En cas de non paiement fautif de l’amende additionnelle, la peine privative de liberté de substitution (art. 106 al. 2 CP) est fixée, en utilisant comme taux de conversion le montant du jour-amende, à 3 jours (500 fr. / 155 fr. = 3,22).</w:t>
      </w:r>
    </w:p>
    <w:p>
      <w:r>
        <w:rPr>
          <w:b/>
        </w:rPr>
        <w:t>E. 6</w:t>
      </w:r>
    </w:p>
    <w:p>
      <w:r>
        <w:t>mois au moins et de 2 ans au plus lorsqu'une peine ferme ne paraît pas nécessaire pour détourner l'auteur d'autres crimes ou délits (al. 1). Si, durant les 5 ans qui précèdent l'infraction, l'auteur a été condamné à une peine privative de liberté ferme ou avec sursis de 6 mois au moins ou à une peine pécuniaire de 180 jours-amende au moins, il ne peut y avoir de sursis à l'exécution de la peine qu'en cas de circonstances particulièrement favorables (al. 2). Le juge peut prononcer, en plus du sursis, une peine pécuniaire sans sursis ou une amende selon l'art. 106 CP (al. 4).</w:t>
      </w:r>
    </w:p>
    <w:p>
      <w:r>
        <w:rPr>
          <w:b/>
        </w:rPr>
        <w:t>E. 6.1</w:t>
      </w:r>
    </w:p>
    <w:p>
      <w:r>
        <w:t>Comme l’appel est intégralement rejeté, il n’y a pas lieu de revoir les frais fixés par l’autorité inférieure (art. 428 al. 3 CPP).</w:t>
      </w:r>
    </w:p>
    <w:p>
      <w:r>
        <w:rPr>
          <w:b/>
        </w:rPr>
        <w:t>E. 6.2</w:t>
      </w:r>
    </w:p>
    <w:p>
      <w:r>
        <w:t>Le sort des frais de la procédure d’appel est réglé à l'art. 428 al. 1 CPP, lequel prévoit leur prise en charge par les parties dans la mesure où elles ont obtenu gain de cause ou ont succombé. Vu le sort de l'appel, les frais de la procédure de recours sont mis à la charge de l’appelant, qui supporte ses frais d’intervention en justice. Pour la procédure d'appel devant le Tribunal cantonal, l'émolument est compris entre 380 fr. et 5000 fr. (art. 22 let. f LTar). En l'espèce, compte tenu du degré ordinaire de difficulté de l'affaire, des principes de la couverture des frais et de l'équivalence des prestations, ainsi que de la situation financière relativement aisée de l’intéressé (art. 13 LTar), l'émolument, comprenant celui pour l’ordonnance de preuves aux débats en appel rendue le 26 février 2013, est fixé à 1000 fr. (débours compris [25 fr. d'indemnité d'huissier]).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